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435"/>
        <w:gridCol w:w="4920"/>
      </w:tblGrid>
      <w:tr w:rsidR="0007098E" w:rsidRPr="00F31097" w:rsidTr="00CE3457">
        <w:tc>
          <w:tcPr>
            <w:tcW w:w="5211" w:type="dxa"/>
            <w:shd w:val="clear" w:color="auto" w:fill="auto"/>
          </w:tcPr>
          <w:p w:rsidR="0007098E" w:rsidRPr="00F31097" w:rsidRDefault="0007098E" w:rsidP="00CE3457">
            <w:pPr>
              <w:jc w:val="center"/>
              <w:rPr>
                <w:sz w:val="24"/>
                <w:szCs w:val="24"/>
              </w:rPr>
            </w:pPr>
          </w:p>
        </w:tc>
        <w:tc>
          <w:tcPr>
            <w:tcW w:w="5529" w:type="dxa"/>
            <w:shd w:val="clear" w:color="auto" w:fill="auto"/>
          </w:tcPr>
          <w:p w:rsidR="0007098E" w:rsidRPr="00F31097" w:rsidRDefault="0007098E" w:rsidP="00CE3457">
            <w:pPr>
              <w:jc w:val="center"/>
              <w:rPr>
                <w:sz w:val="24"/>
                <w:szCs w:val="24"/>
              </w:rPr>
            </w:pPr>
            <w:r w:rsidRPr="00F31097">
              <w:rPr>
                <w:sz w:val="24"/>
                <w:szCs w:val="24"/>
              </w:rPr>
              <w:t>Приложение 4</w:t>
            </w:r>
          </w:p>
          <w:p w:rsidR="0007098E" w:rsidRPr="00F31097" w:rsidRDefault="0007098E" w:rsidP="00CE3457">
            <w:pPr>
              <w:jc w:val="center"/>
              <w:rPr>
                <w:sz w:val="24"/>
                <w:szCs w:val="24"/>
              </w:rPr>
            </w:pPr>
            <w:r w:rsidRPr="00F31097">
              <w:rPr>
                <w:sz w:val="24"/>
                <w:szCs w:val="24"/>
              </w:rPr>
              <w:t>к АООП НОО для обучающихся с задержкой психического развития (вариант 7.2.)</w:t>
            </w:r>
          </w:p>
          <w:p w:rsidR="0007098E" w:rsidRPr="00F31097" w:rsidRDefault="0007098E" w:rsidP="00CE3457">
            <w:pPr>
              <w:jc w:val="center"/>
              <w:rPr>
                <w:sz w:val="24"/>
                <w:szCs w:val="24"/>
              </w:rPr>
            </w:pPr>
            <w:r w:rsidRPr="00F31097">
              <w:rPr>
                <w:sz w:val="24"/>
                <w:szCs w:val="24"/>
              </w:rPr>
              <w:t>УТВЕРЖДЕНО</w:t>
            </w:r>
          </w:p>
          <w:p w:rsidR="0007098E" w:rsidRPr="00F31097" w:rsidRDefault="0007098E" w:rsidP="00CE3457">
            <w:pPr>
              <w:jc w:val="center"/>
              <w:rPr>
                <w:sz w:val="24"/>
                <w:szCs w:val="24"/>
              </w:rPr>
            </w:pPr>
            <w:r w:rsidRPr="00F31097">
              <w:rPr>
                <w:sz w:val="24"/>
                <w:szCs w:val="24"/>
              </w:rPr>
              <w:t>приказом директора школы</w:t>
            </w:r>
          </w:p>
          <w:p w:rsidR="0007098E" w:rsidRPr="00F31097" w:rsidRDefault="0007098E" w:rsidP="00CE3457">
            <w:pPr>
              <w:jc w:val="center"/>
              <w:rPr>
                <w:sz w:val="24"/>
                <w:szCs w:val="24"/>
              </w:rPr>
            </w:pPr>
            <w:r>
              <w:rPr>
                <w:sz w:val="24"/>
                <w:szCs w:val="24"/>
              </w:rPr>
              <w:t>от 30.08. 2024 г. № 187</w:t>
            </w:r>
            <w:r w:rsidRPr="00F31097">
              <w:rPr>
                <w:sz w:val="24"/>
                <w:szCs w:val="24"/>
              </w:rPr>
              <w:t>-Д</w:t>
            </w:r>
          </w:p>
          <w:p w:rsidR="0007098E" w:rsidRPr="00F31097" w:rsidRDefault="0007098E" w:rsidP="00CE3457">
            <w:pPr>
              <w:jc w:val="center"/>
              <w:rPr>
                <w:sz w:val="24"/>
                <w:szCs w:val="24"/>
              </w:rPr>
            </w:pPr>
          </w:p>
        </w:tc>
      </w:tr>
    </w:tbl>
    <w:p w:rsidR="0007098E" w:rsidRPr="00F31097" w:rsidRDefault="0007098E" w:rsidP="0007098E">
      <w:pPr>
        <w:jc w:val="center"/>
        <w:rPr>
          <w:sz w:val="24"/>
          <w:szCs w:val="24"/>
        </w:rPr>
      </w:pPr>
    </w:p>
    <w:p w:rsidR="0007098E" w:rsidRPr="00F31097" w:rsidRDefault="0007098E" w:rsidP="0007098E">
      <w:pPr>
        <w:jc w:val="right"/>
        <w:rPr>
          <w:sz w:val="24"/>
          <w:szCs w:val="24"/>
        </w:rPr>
      </w:pPr>
    </w:p>
    <w:p w:rsidR="0007098E" w:rsidRPr="00F31097" w:rsidRDefault="0007098E" w:rsidP="0007098E">
      <w:pPr>
        <w:jc w:val="center"/>
        <w:rPr>
          <w:sz w:val="24"/>
          <w:szCs w:val="24"/>
        </w:rPr>
      </w:pPr>
    </w:p>
    <w:p w:rsidR="0007098E" w:rsidRPr="00F31097" w:rsidRDefault="0007098E" w:rsidP="0007098E">
      <w:pPr>
        <w:jc w:val="center"/>
        <w:rPr>
          <w:sz w:val="24"/>
          <w:szCs w:val="24"/>
        </w:rPr>
      </w:pPr>
    </w:p>
    <w:p w:rsidR="0007098E" w:rsidRPr="00F31097" w:rsidRDefault="0007098E" w:rsidP="0007098E">
      <w:pPr>
        <w:jc w:val="center"/>
        <w:rPr>
          <w:sz w:val="24"/>
          <w:szCs w:val="24"/>
        </w:rPr>
      </w:pPr>
    </w:p>
    <w:p w:rsidR="0007098E" w:rsidRDefault="0007098E" w:rsidP="0007098E">
      <w:pPr>
        <w:jc w:val="center"/>
        <w:rPr>
          <w:b/>
          <w:sz w:val="44"/>
          <w:szCs w:val="44"/>
        </w:rPr>
      </w:pPr>
      <w:r>
        <w:rPr>
          <w:b/>
          <w:sz w:val="44"/>
          <w:szCs w:val="44"/>
        </w:rPr>
        <w:t xml:space="preserve">УЧЕБНЫЙ ПЛАН </w:t>
      </w:r>
    </w:p>
    <w:p w:rsidR="0007098E" w:rsidRDefault="0007098E" w:rsidP="0007098E">
      <w:pPr>
        <w:jc w:val="center"/>
        <w:rPr>
          <w:b/>
          <w:sz w:val="44"/>
          <w:szCs w:val="44"/>
        </w:rPr>
      </w:pPr>
      <w:r>
        <w:rPr>
          <w:b/>
          <w:sz w:val="44"/>
          <w:szCs w:val="44"/>
        </w:rPr>
        <w:t>НАЧАЛЬНОГО ОБЩЕГО ОБРАЗОВАНИЯ</w:t>
      </w:r>
    </w:p>
    <w:p w:rsidR="0007098E" w:rsidRDefault="0007098E" w:rsidP="0007098E">
      <w:pPr>
        <w:jc w:val="center"/>
        <w:rPr>
          <w:b/>
          <w:sz w:val="44"/>
          <w:szCs w:val="44"/>
        </w:rPr>
      </w:pPr>
    </w:p>
    <w:p w:rsidR="0007098E" w:rsidRPr="002F25D3" w:rsidRDefault="0007098E" w:rsidP="0007098E">
      <w:pPr>
        <w:jc w:val="center"/>
        <w:rPr>
          <w:sz w:val="40"/>
          <w:szCs w:val="40"/>
        </w:rPr>
      </w:pPr>
      <w:r w:rsidRPr="002F25D3">
        <w:rPr>
          <w:sz w:val="40"/>
          <w:szCs w:val="40"/>
        </w:rPr>
        <w:t>муниципального бюджетного общеобразовательного учреждения - средней общеобразовательной</w:t>
      </w:r>
    </w:p>
    <w:p w:rsidR="0007098E" w:rsidRPr="002F25D3" w:rsidRDefault="0007098E" w:rsidP="0007098E">
      <w:pPr>
        <w:jc w:val="center"/>
        <w:rPr>
          <w:b/>
          <w:bCs/>
          <w:sz w:val="40"/>
          <w:szCs w:val="40"/>
        </w:rPr>
      </w:pPr>
      <w:r w:rsidRPr="002F25D3">
        <w:rPr>
          <w:sz w:val="40"/>
          <w:szCs w:val="40"/>
        </w:rPr>
        <w:t>школы №45 имени Д.И. Блынского г. Орла</w:t>
      </w:r>
      <w:r w:rsidRPr="002F25D3">
        <w:rPr>
          <w:b/>
          <w:bCs/>
          <w:sz w:val="40"/>
          <w:szCs w:val="40"/>
        </w:rPr>
        <w:t xml:space="preserve"> </w:t>
      </w:r>
    </w:p>
    <w:p w:rsidR="0007098E" w:rsidRPr="002F25D3" w:rsidRDefault="0007098E" w:rsidP="0007098E">
      <w:pPr>
        <w:jc w:val="center"/>
        <w:rPr>
          <w:bCs/>
          <w:sz w:val="40"/>
          <w:szCs w:val="40"/>
        </w:rPr>
      </w:pPr>
      <w:r w:rsidRPr="002F25D3">
        <w:rPr>
          <w:bCs/>
          <w:sz w:val="40"/>
          <w:szCs w:val="40"/>
        </w:rPr>
        <w:t>для обучающихся с задержкой психического развития</w:t>
      </w:r>
    </w:p>
    <w:p w:rsidR="0007098E" w:rsidRPr="002F25D3" w:rsidRDefault="0007098E" w:rsidP="0007098E">
      <w:pPr>
        <w:jc w:val="center"/>
        <w:rPr>
          <w:bCs/>
          <w:sz w:val="40"/>
          <w:szCs w:val="40"/>
        </w:rPr>
      </w:pPr>
      <w:r w:rsidRPr="002F25D3">
        <w:rPr>
          <w:bCs/>
          <w:sz w:val="40"/>
          <w:szCs w:val="40"/>
        </w:rPr>
        <w:t xml:space="preserve">(Вариант 7.2.) </w:t>
      </w:r>
    </w:p>
    <w:p w:rsidR="0007098E" w:rsidRPr="002F25D3" w:rsidRDefault="0007098E" w:rsidP="0007098E">
      <w:pPr>
        <w:jc w:val="center"/>
        <w:rPr>
          <w:sz w:val="40"/>
          <w:szCs w:val="40"/>
        </w:rPr>
      </w:pPr>
    </w:p>
    <w:p w:rsidR="0007098E" w:rsidRPr="002F25D3" w:rsidRDefault="0007098E" w:rsidP="0007098E">
      <w:pPr>
        <w:jc w:val="center"/>
        <w:rPr>
          <w:sz w:val="40"/>
          <w:szCs w:val="40"/>
        </w:rPr>
      </w:pPr>
      <w:r>
        <w:rPr>
          <w:sz w:val="40"/>
          <w:szCs w:val="40"/>
        </w:rPr>
        <w:t xml:space="preserve">        на 2024-2025</w:t>
      </w:r>
      <w:r w:rsidRPr="002F25D3">
        <w:rPr>
          <w:sz w:val="40"/>
          <w:szCs w:val="40"/>
        </w:rPr>
        <w:t xml:space="preserve"> учебный год</w:t>
      </w:r>
    </w:p>
    <w:p w:rsidR="0007098E" w:rsidRPr="002F25D3" w:rsidRDefault="0007098E" w:rsidP="0007098E">
      <w:pPr>
        <w:rPr>
          <w:sz w:val="40"/>
          <w:szCs w:val="40"/>
        </w:rPr>
      </w:pP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Учебный план в АООП НОО 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sz w:val="24"/>
          <w:szCs w:val="24"/>
        </w:rPr>
        <w:t xml:space="preserve"> (далее- учебный план)</w:t>
      </w:r>
      <w:r w:rsidR="003721A9">
        <w:rPr>
          <w:rFonts w:ascii="Times New Roman" w:hAnsi="Times New Roman"/>
          <w:sz w:val="24"/>
          <w:szCs w:val="24"/>
        </w:rPr>
        <w:t xml:space="preserve"> </w:t>
      </w:r>
      <w:r>
        <w:rPr>
          <w:rFonts w:ascii="Times New Roman" w:hAnsi="Times New Roman" w:cs="Times New Roman"/>
          <w:sz w:val="24"/>
          <w:szCs w:val="24"/>
        </w:rPr>
        <w:t>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w:t>
      </w:r>
      <w:r w:rsidR="0007098E">
        <w:rPr>
          <w:rFonts w:ascii="Times New Roman" w:hAnsi="Times New Roman" w:cs="Times New Roman"/>
          <w:sz w:val="24"/>
          <w:szCs w:val="24"/>
        </w:rPr>
        <w:t xml:space="preserve">чебный план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учебный пл</w:t>
      </w:r>
      <w:r w:rsidR="003721A9">
        <w:rPr>
          <w:rFonts w:ascii="Times New Roman" w:hAnsi="Times New Roman" w:cs="Times New Roman"/>
          <w:sz w:val="24"/>
          <w:szCs w:val="24"/>
        </w:rPr>
        <w:t xml:space="preserve">ан </w:t>
      </w:r>
      <w:r>
        <w:rPr>
          <w:rFonts w:ascii="Times New Roman" w:hAnsi="Times New Roman" w:cs="Times New Roman"/>
          <w:sz w:val="24"/>
          <w:szCs w:val="24"/>
        </w:rPr>
        <w:t>обеспечива</w:t>
      </w:r>
      <w:r w:rsidR="003721A9">
        <w:rPr>
          <w:rFonts w:ascii="Times New Roman" w:hAnsi="Times New Roman" w:cs="Times New Roman"/>
          <w:sz w:val="24"/>
          <w:szCs w:val="24"/>
        </w:rPr>
        <w:t>ет</w:t>
      </w:r>
      <w:r>
        <w:rPr>
          <w:rFonts w:ascii="Times New Roman" w:hAnsi="Times New Roman" w:cs="Times New Roman"/>
          <w:sz w:val="24"/>
          <w:szCs w:val="24"/>
        </w:rPr>
        <w:t xml:space="preserve"> введение в действие и реализацию требований </w:t>
      </w:r>
      <w:hyperlink r:id="rId4"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5" w:anchor="l2292"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6" w:anchor="l22"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07098E">
        <w:rPr>
          <w:rFonts w:ascii="Times New Roman" w:hAnsi="Times New Roman" w:cs="Times New Roman"/>
          <w:sz w:val="24"/>
          <w:szCs w:val="24"/>
        </w:rPr>
        <w:t xml:space="preserve">учебном плане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 xml:space="preserve">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r>
        <w:rPr>
          <w:rFonts w:ascii="Times New Roman" w:hAnsi="Times New Roman" w:cs="Times New Roman"/>
          <w:sz w:val="24"/>
          <w:szCs w:val="24"/>
        </w:rPr>
        <w:t>возможностей,</w:t>
      </w:r>
      <w:r w:rsidR="0007098E">
        <w:rPr>
          <w:rFonts w:ascii="Times New Roman" w:hAnsi="Times New Roman" w:cs="Times New Roman"/>
          <w:sz w:val="24"/>
          <w:szCs w:val="24"/>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w:t>
      </w:r>
      <w:r w:rsidR="0007098E">
        <w:rPr>
          <w:rFonts w:ascii="Times New Roman" w:hAnsi="Times New Roman" w:cs="Times New Roman"/>
          <w:sz w:val="24"/>
          <w:szCs w:val="24"/>
        </w:rPr>
        <w:t xml:space="preserve">чебный план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состоит из двух частей - обязательной части и части, формируемой участниками образовательных отношений.</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 учебного</w:t>
      </w:r>
      <w:r w:rsidR="0007098E">
        <w:rPr>
          <w:rFonts w:ascii="Times New Roman" w:hAnsi="Times New Roman" w:cs="Times New Roman"/>
          <w:sz w:val="24"/>
          <w:szCs w:val="24"/>
        </w:rPr>
        <w:t xml:space="preserve"> плана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определяет состав учебных предметов обязательных предм</w:t>
      </w:r>
      <w:r>
        <w:rPr>
          <w:rFonts w:ascii="Times New Roman" w:hAnsi="Times New Roman" w:cs="Times New Roman"/>
          <w:sz w:val="24"/>
          <w:szCs w:val="24"/>
        </w:rPr>
        <w:t xml:space="preserve">етных областей </w:t>
      </w:r>
      <w:r w:rsidR="0007098E">
        <w:rPr>
          <w:rFonts w:ascii="Times New Roman" w:hAnsi="Times New Roman" w:cs="Times New Roman"/>
          <w:sz w:val="24"/>
          <w:szCs w:val="24"/>
        </w:rPr>
        <w:t>и учебное время, отводимое на их изучение по годам обучения.</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w:t>
      </w:r>
      <w:r w:rsidR="0007098E">
        <w:rPr>
          <w:rFonts w:ascii="Times New Roman" w:hAnsi="Times New Roman" w:cs="Times New Roman"/>
          <w:sz w:val="24"/>
          <w:szCs w:val="24"/>
        </w:rPr>
        <w:t xml:space="preserve">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готовность обучающихся к продолжению образования на уровне основного общего образования;</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w:t>
      </w:r>
      <w:r w:rsidR="003721A9">
        <w:rPr>
          <w:rFonts w:ascii="Times New Roman" w:hAnsi="Times New Roman" w:cs="Times New Roman"/>
          <w:sz w:val="24"/>
          <w:szCs w:val="24"/>
        </w:rPr>
        <w:t xml:space="preserve"> нагрузки </w:t>
      </w:r>
      <w:r w:rsidR="008979EC">
        <w:rPr>
          <w:rFonts w:ascii="Times New Roman" w:hAnsi="Times New Roman" w:cs="Times New Roman"/>
          <w:sz w:val="24"/>
          <w:szCs w:val="24"/>
        </w:rPr>
        <w:t>обучающихся использовано</w:t>
      </w:r>
      <w:r>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увеличение учебных часов, отводимых на изучение отдельных учебн</w:t>
      </w:r>
      <w:r w:rsidR="008979EC">
        <w:rPr>
          <w:rFonts w:ascii="Times New Roman" w:hAnsi="Times New Roman" w:cs="Times New Roman"/>
          <w:sz w:val="24"/>
          <w:szCs w:val="24"/>
        </w:rPr>
        <w:t xml:space="preserve">ых предметов </w:t>
      </w:r>
      <w:r w:rsidR="008979EC">
        <w:rPr>
          <w:rFonts w:ascii="Times New Roman" w:hAnsi="Times New Roman" w:cs="Times New Roman"/>
          <w:sz w:val="24"/>
          <w:szCs w:val="24"/>
        </w:rPr>
        <w:lastRenderedPageBreak/>
        <w:t>обязательной части-«Литературное чтение» 1час, «Иностранный язык (английский)» 1час</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введение учебных курсов, обеспечивающих удовлетворение </w:t>
      </w:r>
      <w:r w:rsidR="003721A9">
        <w:rPr>
          <w:rFonts w:ascii="Times New Roman" w:hAnsi="Times New Roman" w:cs="Times New Roman"/>
          <w:sz w:val="24"/>
          <w:szCs w:val="24"/>
        </w:rPr>
        <w:t>особых образовательных потребностей,</w:t>
      </w:r>
      <w:r>
        <w:rPr>
          <w:rFonts w:ascii="Times New Roman" w:hAnsi="Times New Roman" w:cs="Times New Roman"/>
          <w:sz w:val="24"/>
          <w:szCs w:val="24"/>
        </w:rPr>
        <w:t xml:space="preserve"> обучающихся с ЗПР и необходимую коррекцию недостатков в психическом и (или) физическом развитии;</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введение учебных курсов для факультативного изучения отдельных уче</w:t>
      </w:r>
      <w:r w:rsidR="003721A9">
        <w:rPr>
          <w:rFonts w:ascii="Times New Roman" w:hAnsi="Times New Roman" w:cs="Times New Roman"/>
          <w:sz w:val="24"/>
          <w:szCs w:val="24"/>
        </w:rPr>
        <w:t>бных предметов</w:t>
      </w:r>
      <w:r>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введение учебных курсов, обеспечивающих различные интересы обучающихся</w:t>
      </w:r>
      <w:r w:rsidR="003721A9">
        <w:rPr>
          <w:rFonts w:ascii="Times New Roman" w:hAnsi="Times New Roman" w:cs="Times New Roman"/>
          <w:sz w:val="24"/>
          <w:szCs w:val="24"/>
        </w:rPr>
        <w:t>, в том числе этнокультурные</w:t>
      </w:r>
      <w:r>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Обязательным компонентом учебного плана является внеурочная деятельность. В соответствии с требованиями </w:t>
      </w:r>
      <w:hyperlink r:id="rId7"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внеурочная деятельность организуется по направлениям развития личности (духовно-нравственное, социальное, </w:t>
      </w: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w:t>
      </w:r>
      <w:r w:rsidR="008979EC">
        <w:rPr>
          <w:rFonts w:ascii="Times New Roman" w:hAnsi="Times New Roman" w:cs="Times New Roman"/>
          <w:sz w:val="24"/>
          <w:szCs w:val="24"/>
        </w:rPr>
        <w:t xml:space="preserve">са в </w:t>
      </w:r>
      <w:r w:rsidR="008979EC">
        <w:rPr>
          <w:rFonts w:ascii="Times New Roman" w:hAnsi="Times New Roman"/>
          <w:sz w:val="24"/>
          <w:szCs w:val="24"/>
        </w:rPr>
        <w:t xml:space="preserve">МБОУ-СОШ №45 имени Д.И.Блынского </w:t>
      </w:r>
      <w:proofErr w:type="spellStart"/>
      <w:r w:rsidR="008979EC">
        <w:rPr>
          <w:rFonts w:ascii="Times New Roman" w:hAnsi="Times New Roman"/>
          <w:sz w:val="24"/>
          <w:szCs w:val="24"/>
        </w:rPr>
        <w:t>г.Орла</w:t>
      </w:r>
      <w:proofErr w:type="spellEnd"/>
      <w:r>
        <w:rPr>
          <w:rFonts w:ascii="Times New Roman" w:hAnsi="Times New Roman" w:cs="Times New Roman"/>
          <w:sz w:val="24"/>
          <w:szCs w:val="24"/>
        </w:rPr>
        <w:t>.</w:t>
      </w:r>
    </w:p>
    <w:p w:rsidR="008979EC"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 xml:space="preserve">Коррекционно-развивающая область, согласно требованиям </w:t>
      </w:r>
      <w:hyperlink r:id="rId8" w:anchor="l15" w:history="1">
        <w:r w:rsidR="0007098E">
          <w:rPr>
            <w:rFonts w:ascii="Times New Roman" w:hAnsi="Times New Roman" w:cs="Times New Roman"/>
            <w:sz w:val="24"/>
            <w:szCs w:val="24"/>
            <w:u w:val="single"/>
          </w:rPr>
          <w:t>ФГОС</w:t>
        </w:r>
      </w:hyperlink>
      <w:r w:rsidR="0007098E">
        <w:rPr>
          <w:rFonts w:ascii="Times New Roman" w:hAnsi="Times New Roman" w:cs="Times New Roman"/>
          <w:sz w:val="24"/>
          <w:szCs w:val="24"/>
        </w:rP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0007098E">
        <w:rPr>
          <w:rFonts w:ascii="Times New Roman" w:hAnsi="Times New Roman" w:cs="Times New Roman"/>
          <w:sz w:val="24"/>
          <w:szCs w:val="24"/>
        </w:rPr>
        <w:t>психокоррекционными</w:t>
      </w:r>
      <w:proofErr w:type="spellEnd"/>
      <w:r w:rsidR="0007098E">
        <w:rPr>
          <w:rFonts w:ascii="Times New Roman" w:hAnsi="Times New Roman" w:cs="Times New Roman"/>
          <w:sz w:val="24"/>
          <w:szCs w:val="24"/>
        </w:rPr>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w:t>
      </w:r>
      <w:r>
        <w:rPr>
          <w:rFonts w:ascii="Times New Roman" w:hAnsi="Times New Roman" w:cs="Times New Roman"/>
          <w:sz w:val="24"/>
          <w:szCs w:val="24"/>
        </w:rPr>
        <w:t xml:space="preserve">видуальных и групповых занятий. </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9" w:anchor="l177" w:history="1">
        <w:r>
          <w:rPr>
            <w:rFonts w:ascii="Times New Roman" w:hAnsi="Times New Roman" w:cs="Times New Roman"/>
            <w:sz w:val="24"/>
            <w:szCs w:val="24"/>
            <w:u w:val="single"/>
          </w:rPr>
          <w:t>пункт 3.4.16</w:t>
        </w:r>
      </w:hyperlink>
      <w:r>
        <w:rPr>
          <w:rFonts w:ascii="Times New Roman" w:hAnsi="Times New Roman" w:cs="Times New Roman"/>
          <w:sz w:val="24"/>
          <w:szCs w:val="24"/>
        </w:rPr>
        <w:t xml:space="preserve"> Санитарно-эпидемиологических требований).</w:t>
      </w:r>
    </w:p>
    <w:p w:rsidR="0007098E"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Сроки освоения АООП НОО (вариант 7.2) обучающимися с ЗПР составляют 5 лет.</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учебной недели в течение всех лет обучения - 5 дней. Пятидневная рабочая неделя устанавливается в целях </w:t>
      </w:r>
      <w:r w:rsidR="008979EC">
        <w:rPr>
          <w:rFonts w:ascii="Times New Roman" w:hAnsi="Times New Roman" w:cs="Times New Roman"/>
          <w:sz w:val="24"/>
          <w:szCs w:val="24"/>
        </w:rPr>
        <w:t>сохранения и укрепления здоровья,</w:t>
      </w:r>
      <w:r>
        <w:rPr>
          <w:rFonts w:ascii="Times New Roman" w:hAnsi="Times New Roman" w:cs="Times New Roman"/>
          <w:sz w:val="24"/>
          <w:szCs w:val="24"/>
        </w:rPr>
        <w:t xml:space="preserve"> обучающихся с ЗПР. Обучение проходит в одну смену.</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часов, отводимых на изучение учебных предметов "Русский язык", </w:t>
      </w:r>
      <w:r>
        <w:rPr>
          <w:rFonts w:ascii="Times New Roman" w:hAnsi="Times New Roman" w:cs="Times New Roman"/>
          <w:sz w:val="24"/>
          <w:szCs w:val="24"/>
        </w:rPr>
        <w:lastRenderedPageBreak/>
        <w:t xml:space="preserve">"Литературное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w:t>
      </w:r>
      <w:r w:rsidR="008979EC">
        <w:rPr>
          <w:rFonts w:ascii="Times New Roman" w:hAnsi="Times New Roman" w:cs="Times New Roman"/>
          <w:sz w:val="24"/>
          <w:szCs w:val="24"/>
        </w:rPr>
        <w:t>психофизических особенностей,</w:t>
      </w:r>
      <w:r>
        <w:rPr>
          <w:rFonts w:ascii="Times New Roman" w:hAnsi="Times New Roman" w:cs="Times New Roman"/>
          <w:sz w:val="24"/>
          <w:szCs w:val="24"/>
        </w:rPr>
        <w:t xml:space="preserve"> обучающихся с ЗПР.</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w:t>
      </w:r>
      <w:r w:rsidR="008979EC">
        <w:rPr>
          <w:rFonts w:ascii="Times New Roman" w:hAnsi="Times New Roman" w:cs="Times New Roman"/>
          <w:sz w:val="24"/>
          <w:szCs w:val="24"/>
        </w:rPr>
        <w:t>ение отводится 1 час в неделю.</w:t>
      </w:r>
    </w:p>
    <w:p w:rsidR="008979EC"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0007098E">
        <w:rPr>
          <w:rFonts w:ascii="Times New Roman" w:hAnsi="Times New Roman" w:cs="Times New Roman"/>
          <w:sz w:val="24"/>
          <w:szCs w:val="24"/>
        </w:rPr>
        <w:t>психокоррекционными</w:t>
      </w:r>
      <w:proofErr w:type="spellEnd"/>
      <w:r w:rsidR="0007098E">
        <w:rPr>
          <w:rFonts w:ascii="Times New Roman" w:hAnsi="Times New Roman" w:cs="Times New Roman"/>
          <w:sz w:val="24"/>
          <w:szCs w:val="24"/>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07098E"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10" w:anchor="l177" w:history="1">
        <w:r w:rsidR="0007098E" w:rsidRPr="00CE3457">
          <w:rPr>
            <w:rFonts w:ascii="Times New Roman" w:hAnsi="Times New Roman" w:cs="Times New Roman"/>
            <w:sz w:val="24"/>
            <w:szCs w:val="24"/>
          </w:rPr>
          <w:t>пункт 3.4.16</w:t>
        </w:r>
      </w:hyperlink>
      <w:r w:rsidR="0007098E">
        <w:rPr>
          <w:rFonts w:ascii="Times New Roman" w:hAnsi="Times New Roman" w:cs="Times New Roman"/>
          <w:sz w:val="24"/>
          <w:szCs w:val="24"/>
        </w:rPr>
        <w:t xml:space="preserve"> Санитарно-эпидемиологических требований).</w:t>
      </w:r>
    </w:p>
    <w:p w:rsidR="00CE3457" w:rsidRPr="00CE3457" w:rsidRDefault="00CE3457" w:rsidP="00CE3457">
      <w:pPr>
        <w:autoSpaceDE w:val="0"/>
        <w:autoSpaceDN w:val="0"/>
        <w:adjustRightInd w:val="0"/>
        <w:spacing w:after="0" w:line="240" w:lineRule="auto"/>
        <w:ind w:firstLine="709"/>
        <w:jc w:val="both"/>
        <w:rPr>
          <w:rFonts w:ascii="Times New Roman" w:hAnsi="Times New Roman" w:cs="Times New Roman"/>
          <w:sz w:val="24"/>
          <w:szCs w:val="24"/>
        </w:rPr>
      </w:pPr>
      <w:r w:rsidRPr="00CE3457">
        <w:rPr>
          <w:rFonts w:ascii="Times New Roman" w:hAnsi="Times New Roman" w:cs="Times New Roman"/>
          <w:sz w:val="24"/>
          <w:szCs w:val="24"/>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формы промежуточной аттестации обучающихся. </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Освоение адаптированной образовательной программы начального общего образования для обучающихся с ЗПР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МБОУ-СОШ № 45 имени Д.И.Блынского г. Орла и содержанием целевого раздела ООП о системе оценки достижения планируемых результатов освоения программы. Сроки проведения промежуточной аттестации определяются календарным учебным графи</w:t>
      </w:r>
      <w:r w:rsidR="00123A52">
        <w:rPr>
          <w:rFonts w:ascii="Times New Roman" w:hAnsi="Times New Roman" w:cs="Times New Roman"/>
          <w:sz w:val="24"/>
          <w:szCs w:val="24"/>
        </w:rPr>
        <w:t>ком.</w:t>
      </w:r>
      <w:r w:rsidRPr="00CE3457">
        <w:rPr>
          <w:rFonts w:ascii="Times New Roman" w:hAnsi="Times New Roman" w:cs="Times New Roman"/>
          <w:sz w:val="24"/>
          <w:szCs w:val="24"/>
        </w:rPr>
        <w:t xml:space="preserve">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 xml:space="preserve">В 2025-2026 учебном году промежуточная аттестация на уровне НОО будет проходить в период с 20.04.2026г. по 20.05.2026г. без прекращения учебного процесса. </w:t>
      </w:r>
    </w:p>
    <w:p w:rsid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Определены следующие формы промежуточной аттестации обучающихся:</w:t>
      </w:r>
    </w:p>
    <w:p w:rsidR="00123A52" w:rsidRPr="00CE3457" w:rsidRDefault="00123A52" w:rsidP="00CE3457">
      <w:pPr>
        <w:spacing w:after="0"/>
        <w:ind w:firstLine="709"/>
        <w:jc w:val="both"/>
        <w:rPr>
          <w:rFonts w:ascii="Times New Roman" w:hAnsi="Times New Roman" w:cs="Times New Roman"/>
          <w:sz w:val="24"/>
          <w:szCs w:val="24"/>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146"/>
        <w:gridCol w:w="1146"/>
        <w:gridCol w:w="1146"/>
        <w:gridCol w:w="2977"/>
      </w:tblGrid>
      <w:tr w:rsidR="00CE3457" w:rsidRPr="00CE3457" w:rsidTr="00CE3457">
        <w:trPr>
          <w:trHeight w:val="271"/>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Учебные предметы</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1 классы</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2 классы</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3 классы</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4 классы</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Русский язык</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 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Литературное чтение</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r>
      <w:tr w:rsidR="00CE3457" w:rsidRPr="00CE3457" w:rsidTr="00CE3457">
        <w:trPr>
          <w:trHeight w:val="349"/>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lastRenderedPageBreak/>
              <w:t>Иностранный язык (английский)</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Математика</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 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Окружающий мир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123A52" w:rsidP="00CE3457">
            <w:pPr>
              <w:pStyle w:val="a3"/>
              <w:spacing w:line="276"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ГО</w:t>
            </w:r>
          </w:p>
        </w:tc>
      </w:tr>
      <w:tr w:rsidR="00CE3457" w:rsidRPr="00CE3457" w:rsidTr="00CE3457">
        <w:trPr>
          <w:trHeight w:val="49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Основы религиозных культур и светской этики</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З</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Изобразительное искусство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Музыка</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Труд (технология)</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Физическая культура</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9669" w:type="dxa"/>
            <w:gridSpan w:val="5"/>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 – качественная оценка, без фиксации отметок;</w:t>
            </w:r>
          </w:p>
          <w:p w:rsidR="00CE3457" w:rsidRPr="00CE3457" w:rsidRDefault="00CE3457" w:rsidP="00CE3457">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 xml:space="preserve">ГО – годовая отметка; </w:t>
            </w:r>
          </w:p>
          <w:p w:rsidR="00CE3457" w:rsidRPr="00CE3457" w:rsidRDefault="00CE3457" w:rsidP="00CE3457">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 xml:space="preserve">КР – контрольная работа;  </w:t>
            </w:r>
          </w:p>
          <w:p w:rsidR="00CE3457" w:rsidRPr="00CE3457" w:rsidRDefault="00CE3457" w:rsidP="00123A52">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З - зачёт</w:t>
            </w:r>
          </w:p>
        </w:tc>
      </w:tr>
    </w:tbl>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Реализация учебного плана МБОУ-СОШ № 45 имени Д.И.Блынского г. Орла для обучающихся с ЗПР обеспечена педагогическими кадрами соответствующей квалификации.</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Учебный план обеспечен учебно-методическими комплексами: учебными программами, учебниками, методическими рекомендациями.</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Выбор программно-методического обеспечения и учебно-методических комплектов не противоречит федеральному законодательству.</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Таким образом, реализация учебного плана обеспечена методически, а также кадровыми и материально-техническими ресурсами.</w:t>
      </w:r>
    </w:p>
    <w:p w:rsidR="0007098E" w:rsidRDefault="008979EC" w:rsidP="008979E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ЗПР (вариант 7.2) </w:t>
      </w:r>
      <w:r w:rsidRPr="00CE3457">
        <w:rPr>
          <w:rFonts w:ascii="Times New Roman" w:hAnsi="Times New Roman" w:cs="Times New Roman"/>
          <w:sz w:val="24"/>
          <w:szCs w:val="24"/>
        </w:rPr>
        <w:t xml:space="preserve">МБОУ-СОШ №45 имени Д.И.Блынского </w:t>
      </w:r>
      <w:proofErr w:type="spellStart"/>
      <w:r w:rsidRPr="00CE3457">
        <w:rPr>
          <w:rFonts w:ascii="Times New Roman" w:hAnsi="Times New Roman" w:cs="Times New Roman"/>
          <w:sz w:val="24"/>
          <w:szCs w:val="24"/>
        </w:rPr>
        <w:t>г.Орла</w:t>
      </w:r>
      <w:proofErr w:type="spellEnd"/>
      <w:r>
        <w:rPr>
          <w:rFonts w:ascii="Times New Roman" w:hAnsi="Times New Roman" w:cs="Times New Roman"/>
          <w:sz w:val="24"/>
          <w:szCs w:val="24"/>
        </w:rPr>
        <w:t xml:space="preserve"> составлен на основании Федерального учебного</w:t>
      </w:r>
      <w:r w:rsidR="0007098E">
        <w:rPr>
          <w:rFonts w:ascii="Times New Roman" w:hAnsi="Times New Roman" w:cs="Times New Roman"/>
          <w:sz w:val="24"/>
          <w:szCs w:val="24"/>
        </w:rPr>
        <w:t xml:space="preserve"> план</w:t>
      </w:r>
      <w:r>
        <w:rPr>
          <w:rFonts w:ascii="Times New Roman" w:hAnsi="Times New Roman" w:cs="Times New Roman"/>
          <w:sz w:val="24"/>
          <w:szCs w:val="24"/>
        </w:rPr>
        <w:t>а</w:t>
      </w:r>
      <w:r w:rsidR="0007098E">
        <w:rPr>
          <w:rFonts w:ascii="Times New Roman" w:hAnsi="Times New Roman" w:cs="Times New Roman"/>
          <w:sz w:val="24"/>
          <w:szCs w:val="24"/>
        </w:rPr>
        <w:t xml:space="preserve"> начального общего образования обучающихся с ЗПР (вариант 7.2). (в ред. Приказа </w:t>
      </w:r>
      <w:proofErr w:type="spellStart"/>
      <w:r w:rsidR="0007098E">
        <w:rPr>
          <w:rFonts w:ascii="Times New Roman" w:hAnsi="Times New Roman" w:cs="Times New Roman"/>
          <w:sz w:val="24"/>
          <w:szCs w:val="24"/>
        </w:rPr>
        <w:t>Минпросвещения</w:t>
      </w:r>
      <w:proofErr w:type="spellEnd"/>
      <w:r w:rsidR="0007098E">
        <w:rPr>
          <w:rFonts w:ascii="Times New Roman" w:hAnsi="Times New Roman" w:cs="Times New Roman"/>
          <w:sz w:val="24"/>
          <w:szCs w:val="24"/>
        </w:rPr>
        <w:t xml:space="preserve"> РФ </w:t>
      </w:r>
      <w:hyperlink r:id="rId11" w:anchor="l7439" w:history="1">
        <w:r w:rsidR="0007098E" w:rsidRPr="00CE3457">
          <w:rPr>
            <w:rFonts w:ascii="Times New Roman" w:hAnsi="Times New Roman" w:cs="Times New Roman"/>
            <w:sz w:val="24"/>
            <w:szCs w:val="24"/>
          </w:rPr>
          <w:t>от 17.07.2024 N 495</w:t>
        </w:r>
      </w:hyperlink>
      <w:r w:rsidR="0007098E">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Вариант N 1</w:t>
      </w:r>
    </w:p>
    <w:p w:rsidR="0007098E" w:rsidRDefault="0007098E" w:rsidP="0007098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12" w:anchor="l7439" w:history="1">
        <w:r>
          <w:rPr>
            <w:rFonts w:ascii="Times New Roman" w:hAnsi="Times New Roman" w:cs="Times New Roman"/>
            <w:sz w:val="24"/>
            <w:szCs w:val="24"/>
            <w:u w:val="single"/>
          </w:rPr>
          <w:t>от 17.07.2024 N 495</w:t>
        </w:r>
      </w:hyperlink>
      <w:r>
        <w:rPr>
          <w:rFonts w:ascii="Times New Roman" w:hAnsi="Times New Roman" w:cs="Times New Roman"/>
          <w:sz w:val="24"/>
          <w:szCs w:val="24"/>
        </w:rPr>
        <w:t>)</w:t>
      </w:r>
    </w:p>
    <w:tbl>
      <w:tblPr>
        <w:tblW w:w="0" w:type="auto"/>
        <w:jc w:val="center"/>
        <w:tblCellMar>
          <w:left w:w="0" w:type="dxa"/>
          <w:right w:w="0" w:type="dxa"/>
        </w:tblCellMar>
        <w:tblLook w:val="0000" w:firstRow="0" w:lastRow="0" w:firstColumn="0" w:lastColumn="0" w:noHBand="0" w:noVBand="0"/>
      </w:tblPr>
      <w:tblGrid>
        <w:gridCol w:w="1741"/>
        <w:gridCol w:w="1772"/>
        <w:gridCol w:w="933"/>
        <w:gridCol w:w="972"/>
        <w:gridCol w:w="933"/>
        <w:gridCol w:w="933"/>
        <w:gridCol w:w="936"/>
        <w:gridCol w:w="1119"/>
      </w:tblGrid>
      <w:tr w:rsidR="0007098E" w:rsidTr="00CE3457">
        <w:trPr>
          <w:jc w:val="center"/>
        </w:trPr>
        <w:tc>
          <w:tcPr>
            <w:tcW w:w="1108"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1107"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 (учебные курсы)</w:t>
            </w:r>
          </w:p>
        </w:tc>
        <w:tc>
          <w:tcPr>
            <w:tcW w:w="5535" w:type="dxa"/>
            <w:gridSpan w:val="5"/>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r>
      <w:tr w:rsidR="0007098E" w:rsidTr="00CE3457">
        <w:trPr>
          <w:jc w:val="center"/>
        </w:trPr>
        <w:tc>
          <w:tcPr>
            <w:tcW w:w="1108"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доп.</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7098E" w:rsidTr="00CE3457">
        <w:trPr>
          <w:jc w:val="center"/>
        </w:trPr>
        <w:tc>
          <w:tcPr>
            <w:tcW w:w="1108"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07098E" w:rsidTr="00CE3457">
        <w:trPr>
          <w:jc w:val="center"/>
        </w:trPr>
        <w:tc>
          <w:tcPr>
            <w:tcW w:w="1108"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Окружающий мир</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религиозных </w:t>
            </w:r>
            <w:r>
              <w:rPr>
                <w:rFonts w:ascii="Times New Roman" w:hAnsi="Times New Roman" w:cs="Times New Roman"/>
                <w:sz w:val="24"/>
                <w:szCs w:val="24"/>
              </w:rPr>
              <w:lastRenderedPageBreak/>
              <w:t>культур и светской этики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Основы религиозных </w:t>
            </w:r>
            <w:r>
              <w:rPr>
                <w:rFonts w:ascii="Times New Roman" w:hAnsi="Times New Roman" w:cs="Times New Roman"/>
                <w:sz w:val="24"/>
                <w:szCs w:val="24"/>
              </w:rPr>
              <w:lastRenderedPageBreak/>
              <w:t>культур и светской этики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7098E" w:rsidTr="00CE3457">
        <w:trPr>
          <w:jc w:val="center"/>
        </w:trPr>
        <w:tc>
          <w:tcPr>
            <w:tcW w:w="1108"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Искусство</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1108"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(Адаптивная физическая культура)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 (при 5-дневной учебной неделе) в соответствии с санитарными правилами и нормами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Внеурочная деятельность:</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индивидуальные и групповые занятия по программе коррекционной работы</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ритмика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направления внеурочной деятельности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часов</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161</w:t>
            </w:r>
          </w:p>
        </w:tc>
      </w:tr>
    </w:tbl>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CE3457" w:rsidRPr="00985E74" w:rsidRDefault="00CE3457" w:rsidP="00CE3457">
      <w:pPr>
        <w:rPr>
          <w:rFonts w:ascii="Times New Roman" w:hAnsi="Times New Roman" w:cs="Times New Roman"/>
          <w:b/>
          <w:sz w:val="24"/>
          <w:szCs w:val="24"/>
        </w:rPr>
      </w:pPr>
      <w:r w:rsidRPr="00985E74">
        <w:rPr>
          <w:rFonts w:ascii="Times New Roman" w:hAnsi="Times New Roman" w:cs="Times New Roman"/>
          <w:b/>
          <w:sz w:val="24"/>
          <w:szCs w:val="24"/>
        </w:rPr>
        <w:lastRenderedPageBreak/>
        <w:t>Учебный план для обучающихся с задержкой психического развития (вариант 7.2.)</w:t>
      </w:r>
    </w:p>
    <w:tbl>
      <w:tblPr>
        <w:tblW w:w="0" w:type="auto"/>
        <w:jc w:val="center"/>
        <w:tblCellMar>
          <w:left w:w="0" w:type="dxa"/>
          <w:right w:w="0" w:type="dxa"/>
        </w:tblCellMar>
        <w:tblLook w:val="0000" w:firstRow="0" w:lastRow="0" w:firstColumn="0" w:lastColumn="0" w:noHBand="0" w:noVBand="0"/>
      </w:tblPr>
      <w:tblGrid>
        <w:gridCol w:w="908"/>
        <w:gridCol w:w="1573"/>
        <w:gridCol w:w="39"/>
        <w:gridCol w:w="125"/>
        <w:gridCol w:w="2253"/>
        <w:gridCol w:w="544"/>
        <w:gridCol w:w="41"/>
        <w:gridCol w:w="638"/>
        <w:gridCol w:w="26"/>
        <w:gridCol w:w="556"/>
        <w:gridCol w:w="591"/>
        <w:gridCol w:w="590"/>
        <w:gridCol w:w="599"/>
        <w:gridCol w:w="856"/>
      </w:tblGrid>
      <w:tr w:rsidR="004311EC" w:rsidTr="00907C86">
        <w:trPr>
          <w:jc w:val="center"/>
        </w:trPr>
        <w:tc>
          <w:tcPr>
            <w:tcW w:w="2645" w:type="dxa"/>
            <w:gridSpan w:val="4"/>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2253"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 (учебные курсы)</w:t>
            </w:r>
          </w:p>
        </w:tc>
        <w:tc>
          <w:tcPr>
            <w:tcW w:w="3585" w:type="dxa"/>
            <w:gridSpan w:val="8"/>
            <w:tcBorders>
              <w:top w:val="single" w:sz="6" w:space="0" w:color="auto"/>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r>
      <w:tr w:rsidR="004311EC" w:rsidTr="00907C86">
        <w:trPr>
          <w:trHeight w:val="288"/>
          <w:jc w:val="center"/>
        </w:trPr>
        <w:tc>
          <w:tcPr>
            <w:tcW w:w="2645" w:type="dxa"/>
            <w:gridSpan w:val="4"/>
            <w:vMerge/>
            <w:tcBorders>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2253" w:type="dxa"/>
            <w:vMerge/>
            <w:tcBorders>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1805" w:type="dxa"/>
            <w:gridSpan w:val="5"/>
            <w:tcBorders>
              <w:top w:val="single" w:sz="6" w:space="0" w:color="auto"/>
              <w:left w:val="single" w:sz="6" w:space="0" w:color="auto"/>
              <w:bottom w:val="single" w:sz="4" w:space="0" w:color="auto"/>
              <w:right w:val="single" w:sz="6"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и  I доп.</w:t>
            </w:r>
          </w:p>
        </w:tc>
        <w:tc>
          <w:tcPr>
            <w:tcW w:w="591"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590"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599"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856"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311EC" w:rsidTr="00907C86">
        <w:trPr>
          <w:trHeight w:val="252"/>
          <w:jc w:val="center"/>
        </w:trPr>
        <w:tc>
          <w:tcPr>
            <w:tcW w:w="2645" w:type="dxa"/>
            <w:gridSpan w:val="4"/>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2253"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6"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79" w:type="dxa"/>
            <w:gridSpan w:val="2"/>
            <w:tcBorders>
              <w:top w:val="single" w:sz="4" w:space="0" w:color="auto"/>
              <w:left w:val="single" w:sz="4"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II </w:t>
            </w:r>
          </w:p>
        </w:tc>
        <w:tc>
          <w:tcPr>
            <w:tcW w:w="582" w:type="dxa"/>
            <w:gridSpan w:val="2"/>
            <w:tcBorders>
              <w:top w:val="single" w:sz="4"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 IV</w:t>
            </w:r>
          </w:p>
        </w:tc>
        <w:tc>
          <w:tcPr>
            <w:tcW w:w="591"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p>
        </w:tc>
        <w:tc>
          <w:tcPr>
            <w:tcW w:w="590"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p>
        </w:tc>
        <w:tc>
          <w:tcPr>
            <w:tcW w:w="599"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p>
        </w:tc>
        <w:tc>
          <w:tcPr>
            <w:tcW w:w="856"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r>
      <w:tr w:rsidR="004311EC" w:rsidTr="00907C86">
        <w:trPr>
          <w:jc w:val="center"/>
        </w:trPr>
        <w:tc>
          <w:tcPr>
            <w:tcW w:w="2645" w:type="dxa"/>
            <w:gridSpan w:val="4"/>
            <w:vMerge w:val="restart"/>
            <w:tcBorders>
              <w:top w:val="single" w:sz="6" w:space="0" w:color="auto"/>
              <w:left w:val="single" w:sz="6" w:space="0" w:color="auto"/>
              <w:bottom w:val="nil"/>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585" w:type="dxa"/>
            <w:gridSpan w:val="2"/>
            <w:tcBorders>
              <w:top w:val="single" w:sz="6" w:space="0" w:color="auto"/>
              <w:left w:val="single" w:sz="6"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64" w:type="dxa"/>
            <w:gridSpan w:val="2"/>
            <w:tcBorders>
              <w:top w:val="single" w:sz="6" w:space="0" w:color="auto"/>
              <w:left w:val="single" w:sz="4"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56" w:type="dxa"/>
            <w:tcBorders>
              <w:top w:val="single" w:sz="6"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4311EC" w:rsidTr="00907C86">
        <w:trPr>
          <w:jc w:val="center"/>
        </w:trPr>
        <w:tc>
          <w:tcPr>
            <w:tcW w:w="2645" w:type="dxa"/>
            <w:gridSpan w:val="4"/>
            <w:vMerge/>
            <w:tcBorders>
              <w:top w:val="nil"/>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Окружающий мир</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311EC" w:rsidTr="00907C86">
        <w:trPr>
          <w:jc w:val="center"/>
        </w:trPr>
        <w:tc>
          <w:tcPr>
            <w:tcW w:w="2645" w:type="dxa"/>
            <w:gridSpan w:val="4"/>
            <w:vMerge w:val="restart"/>
            <w:tcBorders>
              <w:top w:val="single" w:sz="6" w:space="0" w:color="auto"/>
              <w:left w:val="single" w:sz="6" w:space="0" w:color="auto"/>
              <w:bottom w:val="nil"/>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4311EC" w:rsidTr="00907C86">
        <w:trPr>
          <w:jc w:val="center"/>
        </w:trPr>
        <w:tc>
          <w:tcPr>
            <w:tcW w:w="2645" w:type="dxa"/>
            <w:gridSpan w:val="4"/>
            <w:vMerge/>
            <w:tcBorders>
              <w:top w:val="nil"/>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(Адаптивная физическая культура)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4311EC"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r>
      <w:tr w:rsidR="004311EC" w:rsidTr="00907C86">
        <w:trPr>
          <w:jc w:val="center"/>
        </w:trPr>
        <w:tc>
          <w:tcPr>
            <w:tcW w:w="908" w:type="dxa"/>
            <w:tcBorders>
              <w:top w:val="single" w:sz="6" w:space="0" w:color="auto"/>
              <w:left w:val="single" w:sz="6" w:space="0" w:color="auto"/>
              <w:bottom w:val="single" w:sz="6" w:space="0" w:color="auto"/>
              <w:right w:val="single" w:sz="6" w:space="0" w:color="auto"/>
            </w:tcBorders>
          </w:tcPr>
          <w:p w:rsidR="004311EC" w:rsidRPr="00CE3457" w:rsidRDefault="004311EC" w:rsidP="00CE3457">
            <w:pPr>
              <w:widowControl w:val="0"/>
              <w:autoSpaceDE w:val="0"/>
              <w:autoSpaceDN w:val="0"/>
              <w:adjustRightInd w:val="0"/>
              <w:spacing w:after="0" w:line="240" w:lineRule="auto"/>
              <w:jc w:val="center"/>
              <w:rPr>
                <w:rFonts w:ascii="Times New Roman" w:hAnsi="Times New Roman" w:cs="Times New Roman"/>
                <w:b/>
                <w:sz w:val="24"/>
                <w:szCs w:val="24"/>
              </w:rPr>
            </w:pPr>
          </w:p>
        </w:tc>
        <w:tc>
          <w:tcPr>
            <w:tcW w:w="8431" w:type="dxa"/>
            <w:gridSpan w:val="13"/>
            <w:tcBorders>
              <w:top w:val="single" w:sz="6" w:space="0" w:color="auto"/>
              <w:left w:val="single" w:sz="6" w:space="0" w:color="auto"/>
              <w:bottom w:val="single" w:sz="6" w:space="0" w:color="auto"/>
              <w:right w:val="single" w:sz="6" w:space="0" w:color="auto"/>
            </w:tcBorders>
          </w:tcPr>
          <w:p w:rsidR="004311EC" w:rsidRPr="00CE3457" w:rsidRDefault="004311EC" w:rsidP="00CE3457">
            <w:pPr>
              <w:widowControl w:val="0"/>
              <w:autoSpaceDE w:val="0"/>
              <w:autoSpaceDN w:val="0"/>
              <w:adjustRightInd w:val="0"/>
              <w:spacing w:after="0" w:line="240" w:lineRule="auto"/>
              <w:jc w:val="center"/>
              <w:rPr>
                <w:rFonts w:ascii="Times New Roman" w:hAnsi="Times New Roman" w:cs="Times New Roman"/>
                <w:b/>
                <w:sz w:val="24"/>
                <w:szCs w:val="24"/>
              </w:rPr>
            </w:pPr>
            <w:r w:rsidRPr="00CE3457">
              <w:rPr>
                <w:rFonts w:ascii="Times New Roman" w:hAnsi="Times New Roman" w:cs="Times New Roman"/>
                <w:b/>
                <w:sz w:val="24"/>
                <w:szCs w:val="24"/>
              </w:rPr>
              <w:t>Часть, формируемая участниками образовательных отношений</w:t>
            </w:r>
          </w:p>
        </w:tc>
      </w:tr>
      <w:tr w:rsidR="004311EC" w:rsidTr="00907C86">
        <w:trPr>
          <w:jc w:val="center"/>
        </w:trPr>
        <w:tc>
          <w:tcPr>
            <w:tcW w:w="2481" w:type="dxa"/>
            <w:gridSpan w:val="2"/>
            <w:vMerge w:val="restart"/>
            <w:tcBorders>
              <w:top w:val="single" w:sz="6" w:space="0" w:color="auto"/>
              <w:left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2417" w:type="dxa"/>
            <w:gridSpan w:val="3"/>
            <w:tcBorders>
              <w:top w:val="single" w:sz="6" w:space="0" w:color="auto"/>
              <w:left w:val="single" w:sz="4" w:space="0" w:color="auto"/>
              <w:bottom w:val="single" w:sz="6" w:space="0" w:color="auto"/>
              <w:right w:val="single" w:sz="6"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r w:rsidRPr="007F633D">
              <w:rPr>
                <w:rFonts w:ascii="Times New Roman" w:hAnsi="Times New Roman" w:cs="Times New Roman"/>
                <w:sz w:val="24"/>
                <w:szCs w:val="24"/>
              </w:rPr>
              <w:t>Литературное чтение</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311EC" w:rsidTr="00907C86">
        <w:trPr>
          <w:jc w:val="center"/>
        </w:trPr>
        <w:tc>
          <w:tcPr>
            <w:tcW w:w="2481" w:type="dxa"/>
            <w:gridSpan w:val="2"/>
            <w:vMerge/>
            <w:tcBorders>
              <w:left w:val="single" w:sz="6" w:space="0" w:color="auto"/>
              <w:right w:val="single" w:sz="4"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417" w:type="dxa"/>
            <w:gridSpan w:val="3"/>
            <w:tcBorders>
              <w:top w:val="single" w:sz="6" w:space="0" w:color="auto"/>
              <w:left w:val="single" w:sz="4" w:space="0" w:color="auto"/>
              <w:bottom w:val="single" w:sz="6" w:space="0" w:color="auto"/>
              <w:right w:val="single" w:sz="6"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r w:rsidRPr="007F633D">
              <w:rPr>
                <w:rFonts w:ascii="Times New Roman" w:hAnsi="Times New Roman" w:cs="Times New Roman"/>
                <w:sz w:val="24"/>
                <w:szCs w:val="24"/>
              </w:rPr>
              <w:t>Английский  язык</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311EC" w:rsidTr="00907C86">
        <w:trPr>
          <w:jc w:val="center"/>
        </w:trPr>
        <w:tc>
          <w:tcPr>
            <w:tcW w:w="2481" w:type="dxa"/>
            <w:gridSpan w:val="2"/>
            <w:vMerge/>
            <w:tcBorders>
              <w:left w:val="single" w:sz="6" w:space="0" w:color="auto"/>
              <w:bottom w:val="single" w:sz="6" w:space="0" w:color="auto"/>
              <w:right w:val="single" w:sz="4"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417" w:type="dxa"/>
            <w:gridSpan w:val="3"/>
            <w:tcBorders>
              <w:top w:val="single" w:sz="6"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Письмо. Графический навык</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311EC" w:rsidTr="00907C86">
        <w:trPr>
          <w:jc w:val="center"/>
        </w:trPr>
        <w:tc>
          <w:tcPr>
            <w:tcW w:w="2481" w:type="dxa"/>
            <w:gridSpan w:val="2"/>
            <w:tcBorders>
              <w:top w:val="single" w:sz="6" w:space="0" w:color="auto"/>
              <w:left w:val="single" w:sz="6"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2417" w:type="dxa"/>
            <w:gridSpan w:val="3"/>
            <w:tcBorders>
              <w:top w:val="single" w:sz="6"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в задачах </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311EC"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907C86"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907C86" w:rsidRPr="004311EC" w:rsidRDefault="00907C86" w:rsidP="00907C86">
            <w:pPr>
              <w:widowControl w:val="0"/>
              <w:autoSpaceDE w:val="0"/>
              <w:autoSpaceDN w:val="0"/>
              <w:adjustRightInd w:val="0"/>
              <w:spacing w:after="0" w:line="240" w:lineRule="auto"/>
              <w:rPr>
                <w:rFonts w:ascii="Times New Roman" w:hAnsi="Times New Roman" w:cs="Times New Roman"/>
                <w:b/>
                <w:sz w:val="24"/>
                <w:szCs w:val="24"/>
              </w:rPr>
            </w:pPr>
            <w:r w:rsidRPr="004311EC">
              <w:rPr>
                <w:rFonts w:ascii="Times New Roman" w:hAnsi="Times New Roman" w:cs="Times New Roman"/>
                <w:b/>
                <w:sz w:val="24"/>
                <w:szCs w:val="24"/>
              </w:rPr>
              <w:t xml:space="preserve"> Внеурочная деятельность:</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907C86" w:rsidTr="00907C86">
        <w:trPr>
          <w:jc w:val="center"/>
        </w:trPr>
        <w:tc>
          <w:tcPr>
            <w:tcW w:w="2520" w:type="dxa"/>
            <w:gridSpan w:val="3"/>
            <w:vMerge w:val="restart"/>
            <w:tcBorders>
              <w:top w:val="single" w:sz="6" w:space="0" w:color="auto"/>
              <w:left w:val="single" w:sz="6" w:space="0" w:color="auto"/>
              <w:right w:val="single" w:sz="4" w:space="0" w:color="auto"/>
            </w:tcBorders>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Коррекционно-развивающая область</w:t>
            </w:r>
          </w:p>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tc>
        <w:tc>
          <w:tcPr>
            <w:tcW w:w="2378" w:type="dxa"/>
            <w:gridSpan w:val="2"/>
            <w:tcBorders>
              <w:top w:val="single" w:sz="6" w:space="0" w:color="auto"/>
              <w:left w:val="single" w:sz="4" w:space="0" w:color="auto"/>
              <w:bottom w:val="single" w:sz="6" w:space="0" w:color="auto"/>
              <w:right w:val="single" w:sz="6" w:space="0" w:color="auto"/>
            </w:tcBorders>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 xml:space="preserve">Коррекционно- развивающие </w:t>
            </w:r>
          </w:p>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занятия  (логопедические)</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vMerge/>
            <w:tcBorders>
              <w:left w:val="single" w:sz="6" w:space="0" w:color="auto"/>
              <w:right w:val="single" w:sz="4"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 xml:space="preserve">Коррекционно- развивающие </w:t>
            </w:r>
          </w:p>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занятия  (</w:t>
            </w:r>
            <w:proofErr w:type="spellStart"/>
            <w:r w:rsidRPr="00CE3457">
              <w:rPr>
                <w:rFonts w:ascii="Times New Roman" w:hAnsi="Times New Roman" w:cs="Times New Roman"/>
                <w:sz w:val="24"/>
                <w:szCs w:val="24"/>
              </w:rPr>
              <w:t>психокоррекционные</w:t>
            </w:r>
            <w:proofErr w:type="spellEnd"/>
            <w:r w:rsidRPr="00CE3457">
              <w:rPr>
                <w:rFonts w:ascii="Times New Roman" w:hAnsi="Times New Roman" w:cs="Times New Roman"/>
                <w:sz w:val="24"/>
                <w:szCs w:val="24"/>
              </w:rPr>
              <w:t>)</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vMerge/>
            <w:tcBorders>
              <w:left w:val="single" w:sz="6" w:space="0" w:color="auto"/>
              <w:right w:val="single" w:sz="4"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 xml:space="preserve">Коррекционно- развивающие </w:t>
            </w:r>
          </w:p>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занятия (коррекция индивидуальных пробелов в знаниях)</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vMerge/>
            <w:tcBorders>
              <w:left w:val="single" w:sz="6" w:space="0" w:color="auto"/>
              <w:bottom w:val="single" w:sz="6" w:space="0" w:color="auto"/>
              <w:right w:val="single" w:sz="4"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Ритмика</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907C86"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направления внеурочной деятельности</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907C86" w:rsidTr="00907C86">
        <w:trPr>
          <w:jc w:val="center"/>
        </w:trPr>
        <w:tc>
          <w:tcPr>
            <w:tcW w:w="2520" w:type="dxa"/>
            <w:gridSpan w:val="3"/>
            <w:tcBorders>
              <w:top w:val="single" w:sz="6" w:space="0" w:color="auto"/>
              <w:left w:val="single" w:sz="6" w:space="0" w:color="auto"/>
              <w:bottom w:val="single" w:sz="6" w:space="0" w:color="auto"/>
              <w:right w:val="single" w:sz="4"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2378" w:type="dxa"/>
            <w:gridSpan w:val="2"/>
            <w:tcBorders>
              <w:top w:val="single" w:sz="6" w:space="0" w:color="auto"/>
              <w:left w:val="single" w:sz="4" w:space="0" w:color="auto"/>
              <w:bottom w:val="single" w:sz="6" w:space="0" w:color="auto"/>
              <w:right w:val="single" w:sz="6" w:space="0" w:color="auto"/>
            </w:tcBorders>
          </w:tcPr>
          <w:p w:rsidR="00907C86" w:rsidRPr="007F633D"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7F633D">
              <w:rPr>
                <w:rFonts w:ascii="Times New Roman" w:hAnsi="Times New Roman" w:cs="Times New Roman"/>
                <w:sz w:val="24"/>
                <w:szCs w:val="24"/>
              </w:rPr>
              <w:t>«Дружим с водой»</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tcBorders>
              <w:top w:val="single" w:sz="6" w:space="0" w:color="auto"/>
              <w:left w:val="single" w:sz="6" w:space="0" w:color="auto"/>
              <w:bottom w:val="single" w:sz="6" w:space="0" w:color="auto"/>
              <w:right w:val="single" w:sz="4" w:space="0" w:color="auto"/>
            </w:tcBorders>
          </w:tcPr>
          <w:p w:rsidR="00907C86" w:rsidRPr="007F633D" w:rsidRDefault="00907C86" w:rsidP="00907C86">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2378" w:type="dxa"/>
            <w:gridSpan w:val="2"/>
            <w:tcBorders>
              <w:top w:val="single" w:sz="6" w:space="0" w:color="auto"/>
              <w:left w:val="single" w:sz="4" w:space="0" w:color="auto"/>
              <w:bottom w:val="single" w:sz="6" w:space="0" w:color="auto"/>
              <w:right w:val="single" w:sz="6" w:space="0" w:color="auto"/>
            </w:tcBorders>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«Разговоры о важном»</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907C86"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907C86" w:rsidRDefault="00B85492"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07C86">
              <w:rPr>
                <w:rFonts w:ascii="Times New Roman" w:hAnsi="Times New Roman" w:cs="Times New Roman"/>
                <w:sz w:val="24"/>
                <w:szCs w:val="24"/>
              </w:rPr>
              <w:t xml:space="preserve"> Всего часов</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161</w:t>
            </w:r>
          </w:p>
        </w:tc>
      </w:tr>
    </w:tbl>
    <w:p w:rsidR="00CE3457" w:rsidRPr="00F31097" w:rsidRDefault="00CE3457" w:rsidP="00CE3457">
      <w:pPr>
        <w:rPr>
          <w:b/>
          <w:sz w:val="24"/>
          <w:szCs w:val="24"/>
        </w:rPr>
      </w:pPr>
    </w:p>
    <w:p w:rsidR="00CE3457" w:rsidRPr="00CE3457" w:rsidRDefault="00CE3457" w:rsidP="00CE3457">
      <w:pPr>
        <w:widowControl w:val="0"/>
        <w:autoSpaceDE w:val="0"/>
        <w:autoSpaceDN w:val="0"/>
        <w:adjustRightInd w:val="0"/>
        <w:spacing w:after="0" w:line="240" w:lineRule="auto"/>
        <w:rPr>
          <w:rFonts w:ascii="Times New Roman" w:hAnsi="Times New Roman" w:cs="Times New Roman"/>
          <w:sz w:val="24"/>
          <w:szCs w:val="24"/>
        </w:rPr>
      </w:pPr>
    </w:p>
    <w:sectPr w:rsidR="00CE3457" w:rsidRPr="00CE3457" w:rsidSect="00FF27F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39"/>
    <w:rsid w:val="0007098E"/>
    <w:rsid w:val="00123A52"/>
    <w:rsid w:val="003721A9"/>
    <w:rsid w:val="004311EC"/>
    <w:rsid w:val="007D1839"/>
    <w:rsid w:val="008979EC"/>
    <w:rsid w:val="008E14A2"/>
    <w:rsid w:val="00907C86"/>
    <w:rsid w:val="00985E74"/>
    <w:rsid w:val="00A55D40"/>
    <w:rsid w:val="00B85492"/>
    <w:rsid w:val="00CE3457"/>
    <w:rsid w:val="00D45716"/>
    <w:rsid w:val="00FF2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A316"/>
  <w15:chartTrackingRefBased/>
  <w15:docId w15:val="{948043AB-808B-4025-86EF-FE1D6086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98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E3457"/>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E3457"/>
    <w:rPr>
      <w:rFonts w:ascii="Calibri" w:eastAsia="Calibri" w:hAnsi="Calibri" w:cs="Times New Roman"/>
    </w:rPr>
  </w:style>
  <w:style w:type="paragraph" w:customStyle="1" w:styleId="1">
    <w:name w:val="Без интервала1"/>
    <w:uiPriority w:val="99"/>
    <w:rsid w:val="00CE3457"/>
    <w:pPr>
      <w:spacing w:after="0" w:line="240" w:lineRule="auto"/>
    </w:pPr>
    <w:rPr>
      <w:rFonts w:ascii="Calibri" w:eastAsia="Times New Roman" w:hAnsi="Calibri" w:cs="Calibri"/>
    </w:rPr>
  </w:style>
  <w:style w:type="paragraph" w:styleId="a5">
    <w:name w:val="Balloon Text"/>
    <w:basedOn w:val="a"/>
    <w:link w:val="a6"/>
    <w:uiPriority w:val="99"/>
    <w:semiHidden/>
    <w:unhideWhenUsed/>
    <w:rsid w:val="00FF27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27F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422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444229" TargetMode="External"/><Relationship Id="rId12" Type="http://schemas.openxmlformats.org/officeDocument/2006/relationships/hyperlink" Target="https://normativ.kontur.ru/document?moduleid=1&amp;documentid=4774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9&amp;documentid=379740" TargetMode="External"/><Relationship Id="rId11" Type="http://schemas.openxmlformats.org/officeDocument/2006/relationships/hyperlink" Target="https://normativ.kontur.ru/document?moduleid=1&amp;documentid=477479" TargetMode="External"/><Relationship Id="rId5" Type="http://schemas.openxmlformats.org/officeDocument/2006/relationships/hyperlink" Target="https://normativ.kontur.ru/document?moduleid=9&amp;documentid=385026" TargetMode="External"/><Relationship Id="rId10" Type="http://schemas.openxmlformats.org/officeDocument/2006/relationships/hyperlink" Target="https://normativ.kontur.ru/document?moduleid=9&amp;documentid=379740" TargetMode="External"/><Relationship Id="rId4" Type="http://schemas.openxmlformats.org/officeDocument/2006/relationships/hyperlink" Target="https://normativ.kontur.ru/document?moduleid=1&amp;documentid=444229" TargetMode="External"/><Relationship Id="rId9" Type="http://schemas.openxmlformats.org/officeDocument/2006/relationships/hyperlink" Target="https://normativ.kontur.ru/document?moduleid=9&amp;documentid=3797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2025-09-08T06:00:00Z</cp:lastPrinted>
  <dcterms:created xsi:type="dcterms:W3CDTF">2025-09-05T05:48:00Z</dcterms:created>
  <dcterms:modified xsi:type="dcterms:W3CDTF">2025-09-08T06:00:00Z</dcterms:modified>
</cp:coreProperties>
</file>