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1B" w:rsidRPr="0040621B" w:rsidRDefault="0040621B" w:rsidP="0040621B">
      <w:pPr>
        <w:shd w:val="clear" w:color="auto" w:fill="D6F2CC"/>
        <w:spacing w:before="30" w:after="0"/>
        <w:ind w:firstLine="566"/>
        <w:jc w:val="center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ascii="Garamond" w:eastAsia="Times New Roman" w:hAnsi="Garamond" w:cs="Times New Roman"/>
          <w:b/>
          <w:bCs/>
          <w:color w:val="2F467B"/>
          <w:sz w:val="32"/>
          <w:szCs w:val="32"/>
          <w:lang w:eastAsia="ru-RU"/>
        </w:rPr>
        <w:t>Что такое суицид и как с ним бороться?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center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ascii="Garamond" w:eastAsia="Times New Roman" w:hAnsi="Garamond" w:cs="Times New Roman"/>
          <w:b/>
          <w:bCs/>
          <w:color w:val="2F467B"/>
          <w:szCs w:val="28"/>
          <w:lang w:eastAsia="ru-RU"/>
        </w:rPr>
        <w:t> </w:t>
      </w:r>
    </w:p>
    <w:p w:rsidR="0040621B" w:rsidRPr="0040621B" w:rsidRDefault="0040621B" w:rsidP="0040621B">
      <w:pPr>
        <w:shd w:val="clear" w:color="auto" w:fill="D6F2CC"/>
        <w:spacing w:before="30" w:after="0"/>
        <w:ind w:firstLine="280"/>
        <w:jc w:val="both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отыскать способ выхода из кризиса, именно выхода, а не ухода. Ведь суицид это уход, уход от решения проблемы, от наказания и позора, унижения и отчаяния, разочарования и утраты, </w:t>
      </w:r>
      <w:proofErr w:type="spellStart"/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отвергнутости</w:t>
      </w:r>
      <w:proofErr w:type="spellEnd"/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и потери самоуважения... словом, от всего того, что составляет многообразие жизни, пусть и не в самых радужных ее проявлениях.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center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ascii="Garamond" w:eastAsia="Times New Roman" w:hAnsi="Garamond" w:cs="Times New Roman"/>
          <w:b/>
          <w:bCs/>
          <w:color w:val="2F467B"/>
          <w:szCs w:val="28"/>
          <w:lang w:eastAsia="ru-RU"/>
        </w:rPr>
        <w:t> 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center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ascii="Garamond" w:eastAsia="Times New Roman" w:hAnsi="Garamond" w:cs="Times New Roman"/>
          <w:b/>
          <w:bCs/>
          <w:color w:val="2F467B"/>
          <w:sz w:val="32"/>
          <w:szCs w:val="32"/>
          <w:lang w:eastAsia="ru-RU"/>
        </w:rPr>
        <w:t>Что нужно знать о суициде?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center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ascii="Garamond" w:eastAsia="Times New Roman" w:hAnsi="Garamond" w:cs="Times New Roman"/>
          <w:b/>
          <w:bCs/>
          <w:color w:val="2F467B"/>
          <w:szCs w:val="28"/>
          <w:lang w:eastAsia="ru-RU"/>
        </w:rPr>
        <w:t> 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center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eastAsia="Times New Roman" w:cs="Times New Roman"/>
          <w:b/>
          <w:bCs/>
          <w:color w:val="2F467B"/>
          <w:szCs w:val="28"/>
          <w:lang w:eastAsia="ru-RU"/>
        </w:rPr>
        <w:t> </w:t>
      </w:r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 </w:t>
      </w:r>
    </w:p>
    <w:p w:rsidR="0040621B" w:rsidRPr="0040621B" w:rsidRDefault="0040621B" w:rsidP="0040621B">
      <w:pPr>
        <w:shd w:val="clear" w:color="auto" w:fill="D6F2CC"/>
        <w:spacing w:before="30" w:after="0"/>
        <w:ind w:firstLine="280"/>
        <w:jc w:val="both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Прежде чем оказать помощь тому, кто собирается совершить суицид, важно располагать основной информацией о суициде и о </w:t>
      </w:r>
      <w:proofErr w:type="spellStart"/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суицидентах</w:t>
      </w:r>
      <w:proofErr w:type="spellEnd"/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 Особенно важно быть в курсе дезинформации о суициде, которая распространяется гораздо быстрее, чем информация достоверная. В памятке Вы смоли получить информацию о суициде, которую необходимо знать для оказания эффективной помощи оказавшемуся в беде.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center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ascii="Garamond" w:eastAsia="Times New Roman" w:hAnsi="Garamond" w:cs="Times New Roman"/>
          <w:b/>
          <w:bCs/>
          <w:color w:val="2F467B"/>
          <w:szCs w:val="28"/>
          <w:lang w:eastAsia="ru-RU"/>
        </w:rPr>
        <w:t> 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center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eastAsia="Times New Roman" w:cs="Times New Roman"/>
          <w:b/>
          <w:bCs/>
          <w:color w:val="2F467B"/>
          <w:szCs w:val="28"/>
          <w:lang w:eastAsia="ru-RU"/>
        </w:rPr>
        <w:t> 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center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ascii="Garamond" w:eastAsia="Times New Roman" w:hAnsi="Garamond" w:cs="Times New Roman"/>
          <w:b/>
          <w:bCs/>
          <w:i/>
          <w:iCs/>
          <w:color w:val="2F467B"/>
          <w:sz w:val="32"/>
          <w:szCs w:val="32"/>
          <w:lang w:eastAsia="ru-RU"/>
        </w:rPr>
        <w:t>Как помочь подросткам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center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ascii="Garamond" w:eastAsia="Times New Roman" w:hAnsi="Garamond" w:cs="Times New Roman"/>
          <w:b/>
          <w:bCs/>
          <w:color w:val="2F467B"/>
          <w:szCs w:val="28"/>
          <w:lang w:eastAsia="ru-RU"/>
        </w:rPr>
        <w:t>  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center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eastAsia="Times New Roman" w:cs="Times New Roman"/>
          <w:b/>
          <w:bCs/>
          <w:color w:val="2F467B"/>
          <w:szCs w:val="28"/>
          <w:lang w:eastAsia="ru-RU"/>
        </w:rPr>
        <w:t> </w:t>
      </w:r>
    </w:p>
    <w:p w:rsidR="0040621B" w:rsidRPr="0040621B" w:rsidRDefault="0040621B" w:rsidP="0040621B">
      <w:pPr>
        <w:shd w:val="clear" w:color="auto" w:fill="D6F2CC"/>
        <w:spacing w:before="30" w:after="0"/>
        <w:ind w:firstLine="278"/>
        <w:jc w:val="both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Выслушивайте</w:t>
      </w:r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softHyphen/>
        <w:t>просы и внимательно слушайте.</w:t>
      </w:r>
    </w:p>
    <w:p w:rsidR="0040621B" w:rsidRPr="0040621B" w:rsidRDefault="0040621B" w:rsidP="0040621B">
      <w:pPr>
        <w:shd w:val="clear" w:color="auto" w:fill="D6F2CC"/>
        <w:spacing w:before="30" w:after="0"/>
        <w:ind w:firstLine="278"/>
        <w:jc w:val="both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Обсуждайте</w:t>
      </w:r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40621B" w:rsidRPr="0040621B" w:rsidRDefault="0040621B" w:rsidP="0040621B">
      <w:pPr>
        <w:shd w:val="clear" w:color="auto" w:fill="D6F2CC"/>
        <w:spacing w:before="30" w:after="0"/>
        <w:ind w:firstLine="278"/>
        <w:jc w:val="both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Будьте внимательны</w:t>
      </w:r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к косвенным показателям при предполагаемом самоубийстве. Каждое шутливое упоминание или угрозу следует вос</w:t>
      </w:r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softHyphen/>
        <w:t>нимаете их всерьез.</w:t>
      </w:r>
    </w:p>
    <w:p w:rsidR="0040621B" w:rsidRPr="0040621B" w:rsidRDefault="0040621B" w:rsidP="0040621B">
      <w:pPr>
        <w:shd w:val="clear" w:color="auto" w:fill="D6F2CC"/>
        <w:spacing w:before="30" w:after="0"/>
        <w:ind w:firstLine="278"/>
        <w:jc w:val="both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Задавайте вопросы</w:t>
      </w:r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 – обобщайте. «Такое впечатление, что ты на самом деле говоришь…»,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</w:t>
      </w:r>
      <w:proofErr w:type="gramStart"/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что</w:t>
      </w:r>
      <w:proofErr w:type="gramEnd"/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 w:rsidR="0040621B" w:rsidRPr="0040621B" w:rsidRDefault="0040621B" w:rsidP="0040621B">
      <w:pPr>
        <w:shd w:val="clear" w:color="auto" w:fill="D6F2CC"/>
        <w:spacing w:before="30" w:after="0"/>
        <w:ind w:firstLine="278"/>
        <w:jc w:val="both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Подчеркивайте временный характер</w:t>
      </w:r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проблем, признайте, что его чувства очень сильны, проблемы сложны. Узнайте, чем вы можете помочь, поскольку вам он уже доверяет. Узнайте, кто еще мог бы помочь в этой ситуации.</w:t>
      </w:r>
    </w:p>
    <w:p w:rsidR="0040621B" w:rsidRPr="0040621B" w:rsidRDefault="0040621B" w:rsidP="0040621B">
      <w:pPr>
        <w:shd w:val="clear" w:color="auto" w:fill="D6F2CC"/>
        <w:spacing w:before="30" w:after="0"/>
        <w:ind w:firstLine="278"/>
        <w:jc w:val="both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проблемы.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center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eastAsia="Times New Roman" w:cs="Times New Roman"/>
          <w:b/>
          <w:bCs/>
          <w:color w:val="2F467B"/>
          <w:szCs w:val="28"/>
          <w:lang w:eastAsia="ru-RU"/>
        </w:rPr>
        <w:t> 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center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eastAsia="Times New Roman" w:cs="Times New Roman"/>
          <w:b/>
          <w:bCs/>
          <w:color w:val="2F467B"/>
          <w:szCs w:val="28"/>
          <w:lang w:eastAsia="ru-RU"/>
        </w:rPr>
        <w:t> </w:t>
      </w:r>
    </w:p>
    <w:tbl>
      <w:tblPr>
        <w:tblW w:w="8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680"/>
      </w:tblGrid>
      <w:tr w:rsidR="0040621B" w:rsidRPr="0040621B" w:rsidTr="0040621B">
        <w:trPr>
          <w:trHeight w:val="236"/>
          <w:jc w:val="center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B" w:rsidRPr="0040621B" w:rsidRDefault="0040621B" w:rsidP="0040621B">
            <w:pPr>
              <w:spacing w:before="30" w:after="30" w:line="226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21B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Нельзя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B" w:rsidRPr="0040621B" w:rsidRDefault="0040621B" w:rsidP="0040621B">
            <w:pPr>
              <w:spacing w:before="30" w:after="30" w:line="226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21B">
              <w:rPr>
                <w:rFonts w:eastAsia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Можно</w:t>
            </w:r>
          </w:p>
        </w:tc>
      </w:tr>
      <w:tr w:rsidR="0040621B" w:rsidRPr="0040621B" w:rsidTr="0040621B">
        <w:trPr>
          <w:trHeight w:val="647"/>
          <w:jc w:val="center"/>
        </w:trPr>
        <w:tc>
          <w:tcPr>
            <w:tcW w:w="4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B" w:rsidRPr="0040621B" w:rsidRDefault="0040621B" w:rsidP="0040621B">
            <w:pPr>
              <w:spacing w:before="30" w:after="30" w:line="226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21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 - Стыдить и ругать ребенка за его намерения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B" w:rsidRPr="0040621B" w:rsidRDefault="0040621B" w:rsidP="0040621B">
            <w:pPr>
              <w:spacing w:before="30" w:after="30" w:line="226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21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 Следует подбирать ключ к загадке суицида, помочь разобраться в причинах</w:t>
            </w:r>
          </w:p>
        </w:tc>
      </w:tr>
      <w:tr w:rsidR="0040621B" w:rsidRPr="0040621B" w:rsidTr="0040621B">
        <w:trPr>
          <w:trHeight w:val="850"/>
          <w:jc w:val="center"/>
        </w:trPr>
        <w:tc>
          <w:tcPr>
            <w:tcW w:w="4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B" w:rsidRPr="0040621B" w:rsidRDefault="0040621B" w:rsidP="0040621B">
            <w:pPr>
              <w:spacing w:before="30" w:after="30" w:line="226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40621B">
              <w:rPr>
                <w:rFonts w:eastAsia="Times New Roman" w:cs="Times New Roman"/>
                <w:sz w:val="24"/>
                <w:szCs w:val="24"/>
                <w:lang w:eastAsia="ru-RU"/>
              </w:rPr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B" w:rsidRPr="0040621B" w:rsidRDefault="0040621B" w:rsidP="0040621B">
            <w:pPr>
              <w:spacing w:before="30" w:after="30" w:line="226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40621B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 всесторонне оценивать степень риска суицида</w:t>
            </w:r>
          </w:p>
        </w:tc>
      </w:tr>
      <w:tr w:rsidR="0040621B" w:rsidRPr="0040621B" w:rsidTr="0040621B">
        <w:trPr>
          <w:trHeight w:val="1077"/>
          <w:jc w:val="center"/>
        </w:trPr>
        <w:tc>
          <w:tcPr>
            <w:tcW w:w="4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B" w:rsidRPr="0040621B" w:rsidRDefault="0040621B" w:rsidP="0040621B">
            <w:pPr>
              <w:spacing w:before="30" w:after="30" w:line="226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21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B" w:rsidRPr="0040621B" w:rsidRDefault="0040621B" w:rsidP="0040621B">
            <w:pPr>
              <w:spacing w:before="30" w:after="30" w:line="226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21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 w:rsidR="0040621B" w:rsidRPr="0040621B" w:rsidTr="0040621B">
        <w:trPr>
          <w:trHeight w:val="634"/>
          <w:jc w:val="center"/>
        </w:trPr>
        <w:tc>
          <w:tcPr>
            <w:tcW w:w="4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B" w:rsidRPr="0040621B" w:rsidRDefault="0040621B" w:rsidP="0040621B">
            <w:pPr>
              <w:spacing w:before="30" w:after="30" w:line="226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21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 Оставлять ребенка одного в ситуации риска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B" w:rsidRPr="0040621B" w:rsidRDefault="0040621B" w:rsidP="0040621B">
            <w:pPr>
              <w:spacing w:before="30" w:after="30" w:line="226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40621B">
              <w:rPr>
                <w:rFonts w:eastAsia="Times New Roman" w:cs="Times New Roman"/>
                <w:sz w:val="24"/>
                <w:szCs w:val="24"/>
                <w:lang w:eastAsia="ru-RU"/>
              </w:rPr>
              <w:t>Если есть такая возможность, нужно привлечь родных и близких, друзей и т.п.</w:t>
            </w:r>
          </w:p>
        </w:tc>
      </w:tr>
      <w:tr w:rsidR="0040621B" w:rsidRPr="0040621B" w:rsidTr="0040621B">
        <w:trPr>
          <w:trHeight w:val="856"/>
          <w:jc w:val="center"/>
        </w:trPr>
        <w:tc>
          <w:tcPr>
            <w:tcW w:w="4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B" w:rsidRPr="0040621B" w:rsidRDefault="0040621B" w:rsidP="0040621B">
            <w:pPr>
              <w:spacing w:before="30" w:after="30" w:line="226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21B">
              <w:rPr>
                <w:rFonts w:ascii="Garamond" w:eastAsia="Times New Roman" w:hAnsi="Garamond" w:cs="Times New Roman"/>
                <w:sz w:val="24"/>
                <w:szCs w:val="24"/>
                <w:lang w:eastAsia="ru-RU"/>
              </w:rPr>
              <w:t>- Чрезмерно контролировать и ограничивать ребенка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21B" w:rsidRPr="0040621B" w:rsidRDefault="0040621B" w:rsidP="0040621B">
            <w:pPr>
              <w:spacing w:before="30" w:after="0" w:line="226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6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40621B">
              <w:rPr>
                <w:rFonts w:eastAsia="Times New Roman" w:cs="Times New Roman"/>
                <w:sz w:val="24"/>
                <w:szCs w:val="24"/>
                <w:lang w:eastAsia="ru-RU"/>
              </w:rPr>
              <w:t>Главное – дружеская поддержка и опора, которые помогут ему справиться с возникшими затруднениями</w:t>
            </w:r>
          </w:p>
        </w:tc>
      </w:tr>
    </w:tbl>
    <w:p w:rsidR="0040621B" w:rsidRPr="0040621B" w:rsidRDefault="0040621B" w:rsidP="0040621B">
      <w:pPr>
        <w:shd w:val="clear" w:color="auto" w:fill="D6F2CC"/>
        <w:spacing w:before="30" w:after="30"/>
        <w:ind w:firstLine="566"/>
        <w:jc w:val="center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eastAsia="Times New Roman" w:cs="Times New Roman"/>
          <w:b/>
          <w:bCs/>
          <w:color w:val="2F467B"/>
          <w:szCs w:val="28"/>
          <w:lang w:eastAsia="ru-RU"/>
        </w:rPr>
        <w:t> 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center"/>
        <w:outlineLvl w:val="3"/>
        <w:rPr>
          <w:rFonts w:eastAsia="Times New Roman" w:cs="Times New Roman"/>
          <w:b/>
          <w:bCs/>
          <w:color w:val="2F467B"/>
          <w:szCs w:val="28"/>
          <w:lang w:eastAsia="ru-RU"/>
        </w:rPr>
      </w:pPr>
      <w:r w:rsidRPr="0040621B">
        <w:rPr>
          <w:rFonts w:eastAsia="Times New Roman" w:cs="Times New Roman"/>
          <w:b/>
          <w:bCs/>
          <w:color w:val="2F467B"/>
          <w:szCs w:val="28"/>
          <w:lang w:eastAsia="ru-RU"/>
        </w:rPr>
        <w:t>Признаки эмоциональных нарушений, лежащих в основе суицида</w:t>
      </w:r>
    </w:p>
    <w:p w:rsidR="0040621B" w:rsidRPr="0040621B" w:rsidRDefault="0040621B" w:rsidP="0040621B">
      <w:pPr>
        <w:shd w:val="clear" w:color="auto" w:fill="D6F2CC"/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  <w:r w:rsidRPr="0040621B">
        <w:rPr>
          <w:rFonts w:eastAsia="Times New Roman" w:cs="Times New Roman"/>
          <w:color w:val="000000"/>
          <w:szCs w:val="28"/>
          <w:lang w:eastAsia="ru-RU"/>
        </w:rPr>
        <w:t>   </w:t>
      </w: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 -потеря аппетита или импульсивное обжорство, бессонница или повышенная сонливость в течение, по крайней мере, последних дней,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-частые жалобы на соматические недомогания (на боли в животе, головные боли, постоянную усталость, частую сонливость),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-необычно пренебрежительное отношение к своему внешнему виду,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-постоянное чувство одиночества, бесполезности, вины или грусти,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-ощущение скуки при проведении времени в привычном окружении или выполнении работы, которая раньше приносила удовольствие,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-уход от контактов, изоляция от друзей и семьи, превращение в человека </w:t>
      </w:r>
      <w:r w:rsidRPr="004062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«одиночку»,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-нарушение внимания со снижением качества выполняемой работы,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-погруженность в размышления о смерти,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-отсутствие планов на будущее,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-внезапные приступы гнева, зачастую возникающие из-за мелочей. </w:t>
      </w: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val="en" w:eastAsia="ru-RU"/>
        </w:rPr>
        <w:t> </w:t>
      </w: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40621B" w:rsidRPr="0040621B" w:rsidRDefault="0040621B" w:rsidP="0040621B">
      <w:pPr>
        <w:shd w:val="clear" w:color="auto" w:fill="D6F2CC"/>
        <w:spacing w:before="100" w:beforeAutospacing="1" w:after="100" w:afterAutospacing="1"/>
        <w:ind w:firstLine="566"/>
        <w:jc w:val="center"/>
        <w:outlineLvl w:val="2"/>
        <w:rPr>
          <w:rFonts w:ascii="Verdana" w:eastAsia="Times New Roman" w:hAnsi="Verdana" w:cs="Times New Roman"/>
          <w:b/>
          <w:bCs/>
          <w:color w:val="2F467B"/>
          <w:sz w:val="26"/>
          <w:szCs w:val="26"/>
          <w:lang w:eastAsia="ru-RU"/>
        </w:rPr>
      </w:pPr>
      <w:r w:rsidRPr="0040621B">
        <w:rPr>
          <w:rFonts w:eastAsia="Times New Roman" w:cs="Times New Roman"/>
          <w:b/>
          <w:bCs/>
          <w:color w:val="2F467B"/>
          <w:szCs w:val="28"/>
          <w:lang w:eastAsia="ru-RU"/>
        </w:rPr>
        <w:t>Признаки готовящегося самоубийства</w:t>
      </w:r>
    </w:p>
    <w:p w:rsidR="0040621B" w:rsidRPr="0040621B" w:rsidRDefault="0040621B" w:rsidP="0040621B">
      <w:pPr>
        <w:shd w:val="clear" w:color="auto" w:fill="D6F2CC"/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возможном самоубийстве говорит сочетание нескольких признаков.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1. Приведение своих дел в порядок — раздача ценных вещей, упаковывание. Человек мог быть неряшливым, и вдруг начинает приводить все в порядок. Делает последние приготовления.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2. Прощание. Может принять форму выражения благодарности различным людям за помощь в разное время жизни.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3. Внешняя удовлетворенность — прилив энергии. </w:t>
      </w:r>
      <w:proofErr w:type="gramStart"/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Если  решение</w:t>
      </w:r>
      <w:proofErr w:type="gramEnd"/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покончить с собой принято, а план составлен, то мысли на эту тему перестают мучить, появляется избыток </w:t>
      </w: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4. Письменные указания (в письмах, записках, дневнике).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5. Словесные указания или угрозы.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6. Вспышки гнева у импульсивных подростков.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7. Потеря близкого человека, за которой следуют вышеперечисленные признаки. Потеря дома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Бессоница</w:t>
      </w:r>
      <w:proofErr w:type="spellEnd"/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40621B" w:rsidRPr="0040621B" w:rsidRDefault="0040621B" w:rsidP="0040621B">
      <w:pPr>
        <w:shd w:val="clear" w:color="auto" w:fill="D6F2CC"/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0621B" w:rsidRPr="0040621B" w:rsidRDefault="0040621B" w:rsidP="0040621B">
      <w:pPr>
        <w:shd w:val="clear" w:color="auto" w:fill="D6F2CC"/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eastAsia="Times New Roman" w:cs="Times New Roman"/>
          <w:b/>
          <w:bCs/>
          <w:color w:val="2F467B"/>
          <w:szCs w:val="28"/>
          <w:lang w:eastAsia="ru-RU"/>
        </w:rPr>
        <w:t>Возможные мотивы</w:t>
      </w:r>
      <w:bookmarkStart w:id="0" w:name="_GoBack"/>
      <w:bookmarkEnd w:id="0"/>
    </w:p>
    <w:p w:rsidR="0040621B" w:rsidRPr="0040621B" w:rsidRDefault="0040621B" w:rsidP="0040621B">
      <w:pPr>
        <w:shd w:val="clear" w:color="auto" w:fill="D6F2CC"/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Поиск помощи </w:t>
      </w: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 большинство людей, думающих о самоубийстве, не хотят умирать. Самоубийство рассматривается как способ получить что-либо (например, внимание, любовь, освобождение от проблем, от чувства безнадежности).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Безнадежност</w:t>
      </w: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- жизнь бессмысленна, а на будущее рассчитывать не приходится. Потеряны всякие надежды изменить жизнь к лучшему.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Множественные проблемы </w:t>
      </w: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 все проблемы настолько глобальны и неразрешимы, что человек не может сконцентрироваться, чтобы разрешить их по одной.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Попытка сделать больно другому человеку</w:t>
      </w: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- «Они еще пожалеют!» Иногда человек считает, что, покончив с собой, унесет с собой проблему и облегчит жизнь своей семье.</w:t>
      </w:r>
    </w:p>
    <w:p w:rsidR="0040621B" w:rsidRPr="0040621B" w:rsidRDefault="0040621B" w:rsidP="0040621B">
      <w:pPr>
        <w:shd w:val="clear" w:color="auto" w:fill="D6F2CC"/>
        <w:spacing w:before="30" w:after="30"/>
        <w:ind w:firstLine="5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0621B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Способ разрешить проблему </w:t>
      </w:r>
      <w:r w:rsidRPr="0040621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 человек рассматривает самоубийство как показатель мужества и силы.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1B"/>
    <w:rsid w:val="0040621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75B3-11C0-46C2-A32D-0B551B81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0621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6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062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2022-01-10T08:16:00Z</dcterms:created>
  <dcterms:modified xsi:type="dcterms:W3CDTF">2022-01-10T08:16:00Z</dcterms:modified>
</cp:coreProperties>
</file>